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Öckerö kommunfullmäktige</w:t>
      </w:r>
    </w:p>
    <w:p>
      <w:pPr>
        <w:pStyle w:val="Heading1"/>
      </w:pPr>
      <w:r>
        <w:t xml:space="preserve">Stärk ordning och trygghet i skolorna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Öckerö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 2024 och lokala trygghetsundersökningar visar ökade ordningsproblem i öns skolor. Tydliga regler och vuxennärvaro är nödvändiga för kunskapsfokus.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Öckerö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en gemensam ordningsplan för alla grundskolor.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avsätter medel för fler vuxna i skolan under raster och lektioner.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uppdrar åt barn- och utbildningsnämnden att införa mobilförbud i klassrum.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begär årlig redovisning av trygghetsenkäter.</w:t>
      </w:r>
    </w:p>
    <w:p>
      <w:pPr>
        <w:spacing w:before="360"/>
      </w:pPr>
    </w:p>
    <w:p>
      <w:r>
        <w:t xml:space="preserve">Öckerö,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Öckerö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2026-07-14T05:50:21.749Z</dcterms:created>
  <dcterms:modified xsi:type="dcterms:W3CDTF">2026-07-14T05:50:21.749Z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